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26" w:rsidRPr="00367A26" w:rsidRDefault="00367A26" w:rsidP="00367A26">
      <w:pPr>
        <w:spacing w:line="280" w:lineRule="exact"/>
        <w:rPr>
          <w:rFonts w:asciiTheme="majorEastAsia" w:eastAsiaTheme="majorEastAsia" w:hAnsiTheme="majorEastAsia"/>
          <w:b/>
          <w:sz w:val="24"/>
          <w:szCs w:val="24"/>
        </w:rPr>
      </w:pPr>
      <w:r w:rsidRPr="00367A26">
        <w:rPr>
          <w:rFonts w:asciiTheme="majorEastAsia" w:eastAsiaTheme="majorEastAsia" w:hAnsiTheme="majorEastAsia" w:hint="eastAsia"/>
          <w:b/>
          <w:sz w:val="24"/>
          <w:szCs w:val="24"/>
        </w:rPr>
        <w:t>使用の不許諾基準</w:t>
      </w:r>
    </w:p>
    <w:p w:rsidR="00367A26" w:rsidRPr="00367A26" w:rsidRDefault="00367A26" w:rsidP="00367A26">
      <w:pPr>
        <w:spacing w:line="280" w:lineRule="exact"/>
        <w:rPr>
          <w:rFonts w:asciiTheme="majorEastAsia" w:eastAsiaTheme="majorEastAsia" w:hAnsiTheme="majorEastAsia" w:hint="eastAsia"/>
          <w:b/>
          <w:sz w:val="21"/>
          <w:szCs w:val="21"/>
        </w:rPr>
      </w:pPr>
    </w:p>
    <w:p w:rsidR="00367A26" w:rsidRPr="00250617" w:rsidRDefault="00367A26" w:rsidP="00367A26">
      <w:pPr>
        <w:spacing w:line="280" w:lineRule="exact"/>
        <w:ind w:firstLineChars="50" w:firstLine="105"/>
        <w:rPr>
          <w:rFonts w:asciiTheme="minorEastAsia" w:hAnsiTheme="minorEastAsia"/>
          <w:sz w:val="21"/>
          <w:szCs w:val="21"/>
        </w:rPr>
      </w:pPr>
      <w:r w:rsidRPr="00250617">
        <w:rPr>
          <w:rFonts w:asciiTheme="minorEastAsia" w:hAnsiTheme="minorEastAsia" w:hint="eastAsia"/>
          <w:sz w:val="21"/>
          <w:szCs w:val="21"/>
        </w:rPr>
        <w:t>申請者が次の各号のいずれかに該当する場合は、使用を許諾しない。</w:t>
      </w:r>
    </w:p>
    <w:p w:rsidR="00367A26" w:rsidRPr="00250617" w:rsidRDefault="00367A26" w:rsidP="00367A26">
      <w:pPr>
        <w:spacing w:line="280" w:lineRule="exact"/>
        <w:ind w:right="57" w:firstLineChars="100" w:firstLine="210"/>
        <w:rPr>
          <w:rFonts w:asciiTheme="minorEastAsia" w:hAnsiTheme="minorEastAsia"/>
          <w:sz w:val="21"/>
          <w:szCs w:val="21"/>
        </w:rPr>
      </w:pPr>
      <w:r w:rsidRPr="00250617">
        <w:rPr>
          <w:rFonts w:asciiTheme="minorEastAsia" w:hAnsiTheme="minorEastAsia" w:hint="eastAsia"/>
          <w:sz w:val="21"/>
          <w:szCs w:val="21"/>
        </w:rPr>
        <w:t>・貸金業の規制等に関する法律の適用を受ける業種・業態である場合</w:t>
      </w:r>
    </w:p>
    <w:p w:rsidR="00367A26" w:rsidRPr="00250617"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・風俗営業等の規制及び業務の適正化等に関する法律の適用を受ける業種・業態である場合</w:t>
      </w:r>
    </w:p>
    <w:p w:rsidR="00367A26" w:rsidRPr="00250617" w:rsidRDefault="00367A26" w:rsidP="00367A26">
      <w:pPr>
        <w:spacing w:line="280" w:lineRule="exact"/>
        <w:ind w:right="57" w:firstLineChars="100" w:firstLine="210"/>
        <w:rPr>
          <w:rFonts w:asciiTheme="minorEastAsia" w:hAnsiTheme="minorEastAsia"/>
          <w:sz w:val="21"/>
          <w:szCs w:val="21"/>
        </w:rPr>
      </w:pPr>
      <w:r w:rsidRPr="00250617">
        <w:rPr>
          <w:rFonts w:asciiTheme="minorEastAsia" w:hAnsiTheme="minorEastAsia" w:hint="eastAsia"/>
          <w:sz w:val="21"/>
          <w:szCs w:val="21"/>
        </w:rPr>
        <w:t>・</w:t>
      </w:r>
      <w:r w:rsidRPr="00250617">
        <w:rPr>
          <w:rFonts w:asciiTheme="minorEastAsia" w:hAnsiTheme="minorEastAsia" w:hint="eastAsia"/>
          <w:spacing w:val="-4"/>
          <w:sz w:val="21"/>
          <w:szCs w:val="21"/>
        </w:rPr>
        <w:t>特定商取引に関する法律の対象となる取引類型に該当する業種・業態である場合</w:t>
      </w:r>
    </w:p>
    <w:p w:rsidR="00367A26" w:rsidRPr="00250617" w:rsidRDefault="00367A26" w:rsidP="00367A26">
      <w:pPr>
        <w:spacing w:line="280" w:lineRule="exact"/>
        <w:ind w:right="57" w:firstLineChars="100" w:firstLine="210"/>
        <w:rPr>
          <w:rFonts w:asciiTheme="minorEastAsia" w:hAnsiTheme="minorEastAsia"/>
          <w:sz w:val="21"/>
          <w:szCs w:val="21"/>
        </w:rPr>
      </w:pPr>
      <w:r w:rsidRPr="00250617">
        <w:rPr>
          <w:rFonts w:asciiTheme="minorEastAsia" w:hAnsiTheme="minorEastAsia" w:hint="eastAsia"/>
          <w:sz w:val="21"/>
          <w:szCs w:val="21"/>
        </w:rPr>
        <w:t>・市民社会の秩序及び安全に脅威を与える反社会的勢力又は団体である場合</w:t>
      </w:r>
    </w:p>
    <w:p w:rsidR="00367A26" w:rsidRPr="00250617" w:rsidRDefault="00367A26" w:rsidP="00367A26">
      <w:pPr>
        <w:spacing w:line="280" w:lineRule="exact"/>
        <w:ind w:right="57" w:firstLineChars="100" w:firstLine="210"/>
        <w:rPr>
          <w:rFonts w:asciiTheme="minorEastAsia" w:hAnsiTheme="minorEastAsia"/>
          <w:sz w:val="21"/>
          <w:szCs w:val="21"/>
        </w:rPr>
      </w:pPr>
      <w:r w:rsidRPr="00250617">
        <w:rPr>
          <w:rFonts w:asciiTheme="minorEastAsia" w:hAnsiTheme="minorEastAsia" w:hint="eastAsia"/>
          <w:sz w:val="21"/>
          <w:szCs w:val="21"/>
        </w:rPr>
        <w:t>・実施事業を法令等に基づく必要な許可を受けることなく行っている場合</w:t>
      </w:r>
    </w:p>
    <w:p w:rsidR="00367A26" w:rsidRPr="00250617"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・実施事業を行政</w:t>
      </w:r>
      <w:bookmarkStart w:id="0" w:name="_GoBack"/>
      <w:bookmarkEnd w:id="0"/>
      <w:r w:rsidRPr="00250617">
        <w:rPr>
          <w:rFonts w:asciiTheme="minorEastAsia" w:hAnsiTheme="minorEastAsia" w:hint="eastAsia"/>
          <w:sz w:val="21"/>
          <w:szCs w:val="21"/>
        </w:rPr>
        <w:t>機関から指導を受け、当該行政指導において改善を指示された事項についてその改善がなされていない場合</w:t>
      </w:r>
    </w:p>
    <w:p w:rsidR="00367A26" w:rsidRPr="00250617" w:rsidRDefault="00367A26" w:rsidP="00367A26">
      <w:pPr>
        <w:spacing w:line="280" w:lineRule="exact"/>
        <w:ind w:right="57" w:firstLineChars="100" w:firstLine="210"/>
        <w:rPr>
          <w:rFonts w:asciiTheme="minorEastAsia" w:hAnsiTheme="minorEastAsia"/>
          <w:sz w:val="21"/>
          <w:szCs w:val="21"/>
        </w:rPr>
      </w:pPr>
      <w:r w:rsidRPr="00250617">
        <w:rPr>
          <w:rFonts w:asciiTheme="minorEastAsia" w:hAnsiTheme="minorEastAsia" w:hint="eastAsia"/>
          <w:sz w:val="21"/>
          <w:szCs w:val="21"/>
        </w:rPr>
        <w:t>・民事再生法又は会社更生法による再生手続又は更生手続中である場合</w:t>
      </w:r>
    </w:p>
    <w:p w:rsidR="00367A26" w:rsidRPr="00250617"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・銀行取引停止処分を受けている場合又は裁判所に破産手続若しくは特別清算手続中である場合</w:t>
      </w:r>
    </w:p>
    <w:p w:rsidR="00367A26" w:rsidRPr="00250617"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・業種・業態が、法令による資格に基づかずに医療類似行為を行うものである場合又は興信所・探偵事務所等である場合若しくは占い・運勢判断等に関するものである場合</w:t>
      </w:r>
    </w:p>
    <w:p w:rsidR="00367A26" w:rsidRPr="00250617"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・業種・業態が前各号の規制対象となっていない場合であっても、社会問題を起こしているものである場合</w:t>
      </w:r>
    </w:p>
    <w:p w:rsidR="00367A26"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・申請者が個人である場合（大阪万博又は万博記念公園に関する教育・研究の用に写真等を供する場合及び申請者が博覧会関係者であって大阪万博の広報宣伝に寄与する用途に写真等を用いる場合を除く。）</w:t>
      </w:r>
    </w:p>
    <w:p w:rsidR="00367A26"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・写真等の利用により、大阪万博出展国・企業等、万博協会、若しくは大阪府の名誉又は大阪万博若しくは万博記念公園の社会的評価を</w:t>
      </w:r>
      <w:proofErr w:type="gramStart"/>
      <w:r w:rsidRPr="00250617">
        <w:rPr>
          <w:rFonts w:asciiTheme="minorEastAsia" w:hAnsiTheme="minorEastAsia" w:hint="eastAsia"/>
          <w:sz w:val="21"/>
          <w:szCs w:val="21"/>
        </w:rPr>
        <w:t>損</w:t>
      </w:r>
      <w:proofErr w:type="gramEnd"/>
      <w:r w:rsidRPr="00250617">
        <w:rPr>
          <w:rFonts w:asciiTheme="minorEastAsia" w:hAnsiTheme="minorEastAsia" w:hint="eastAsia"/>
          <w:sz w:val="21"/>
          <w:szCs w:val="21"/>
        </w:rPr>
        <w:t>うおそれのある場合</w:t>
      </w:r>
    </w:p>
    <w:p w:rsidR="00367A26"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・写真等の利用により、他の権利者の権利を侵害するものである場合</w:t>
      </w:r>
    </w:p>
    <w:p w:rsidR="00367A26"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・写真等の利用目的又は利用形態が、公序良俗に反するものである場合</w:t>
      </w:r>
    </w:p>
    <w:p w:rsidR="00367A26"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・写真等の利用目的又は利用形態が、特定の思想、信条若しくは宗教の流布宣伝又は政治的活動を目的とするものである場合</w:t>
      </w:r>
    </w:p>
    <w:p w:rsidR="00367A26"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・名刺・看板等においてその商号又は名称とともに写真等を利用することにより、あたかも大阪府が当該商号又は名称を用いる者の事業に関与しているかのような誤解を生じるおそれのある場合</w:t>
      </w:r>
    </w:p>
    <w:p w:rsidR="00367A26"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・写真等貸出業に相当する場合</w:t>
      </w:r>
    </w:p>
    <w:p w:rsidR="00367A26" w:rsidRPr="00250617" w:rsidRDefault="00367A26" w:rsidP="00367A26">
      <w:pPr>
        <w:spacing w:line="280" w:lineRule="exact"/>
        <w:ind w:leftChars="100" w:left="410" w:right="57" w:hangingChars="100" w:hanging="210"/>
        <w:rPr>
          <w:rFonts w:asciiTheme="minorEastAsia" w:hAnsiTheme="minorEastAsia"/>
          <w:sz w:val="21"/>
          <w:szCs w:val="21"/>
        </w:rPr>
      </w:pPr>
      <w:r w:rsidRPr="00250617">
        <w:rPr>
          <w:rFonts w:asciiTheme="minorEastAsia" w:hAnsiTheme="minorEastAsia" w:hint="eastAsia"/>
          <w:sz w:val="21"/>
          <w:szCs w:val="21"/>
        </w:rPr>
        <w:t>・その他大阪府の事業運営上、特に不適当と認める場合</w:t>
      </w:r>
    </w:p>
    <w:p w:rsidR="00367A26" w:rsidRPr="00367A26" w:rsidRDefault="00367A26"/>
    <w:sectPr w:rsidR="00367A26" w:rsidRPr="00367A26" w:rsidSect="00C352C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26"/>
    <w:rsid w:val="00367A26"/>
    <w:rsid w:val="00C3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1ED495"/>
  <w15:chartTrackingRefBased/>
  <w15:docId w15:val="{A8AD5BF2-9DB3-7F48-B219-C307623D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A26"/>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2019-12-05T08:08:00Z</dcterms:created>
  <dcterms:modified xsi:type="dcterms:W3CDTF">2019-12-05T08:13:00Z</dcterms:modified>
</cp:coreProperties>
</file>